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Registre des délibérations</w:t>
      </w:r>
    </w:p>
    <w:p>
      <w:pPr>
        <w:spacing w:after="260"/>
        <w:jc w:val="center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[Dénomination de la SCI] · SIREN [000 000 000]</w:t>
      </w:r>
    </w:p>
    <w:p>
      <w:pPr>
        <w:pBdr>
          <w:bottom w:val="single" w:color="CCCCCC" w:sz="6" w:space="6"/>
        </w:pBd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Mode d'emploi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Ce registre rassemble, dans l'ordre chronologique, toutes les décisions collectives des associés : assemblées générales ordinaires et extraordinaires, consultations écrites, actes unanimes. Il est tenu au siège social et conservé sans limite de durée.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Pour chaque décision, classez à la suite : la convocation, le procès-verbal signé, et les documents annexés (comptes de l'exercice, rapport de gérance, texte des résolutions).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Le registre coté et paraphé n'est pas obligatoire pour une société civile. Un classeur tenu avec rigueur suffit, à condition que la chronologie soit respectée et qu'aucune page ne soit retirée.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Sommaire des décisions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200"/>
        <w:gridCol w:w="3100"/>
        <w:gridCol w:w="1600"/>
      </w:tblGrid>
      <w:tr>
        <w:tc>
          <w:tcPr>
            <w:tcW w:type="dxa" w:w="15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22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de la décision</w:t>
            </w:r>
          </w:p>
        </w:tc>
        <w:tc>
          <w:tcPr>
            <w:tcW w:type="dxa" w:w="31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Objet principal</w:t>
            </w:r>
          </w:p>
        </w:tc>
        <w:tc>
          <w:tcPr>
            <w:tcW w:type="dxa" w:w="16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Pièces jointes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 ordinaire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Approbation des comptes [____]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Rappel des décisions qui doivent y figurer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Approbation annuelle des comptes et affectation du résultat ; quitus au gérant ; nomination ou révocation du gérant ; agrément d'un nouvel associé et cession de parts ; autorisation d'emprunt ou de vente d'un immeuble ; modification des statuts ; mise à disposition gratuite d'un logement à un associé ; dissolution et liquidation.</w:t>
      </w:r>
    </w:p>
    <w:p>
      <w:pPr>
        <w:pBdr>
          <w:left w:val="single" w:color="1F6B4E" w:sz="18" w:space="8"/>
        </w:pBdr>
        <w:shd w:fill="F2F6F4" w:color="auto" w:val="clear"/>
        <w:spacing w:after="140" w:before="200"/>
      </w:pPr>
      <w:r>
        <w:rPr>
          <w:rFonts w:ascii="Calibri" w:cs="Calibri" w:eastAsia="Calibri" w:hAnsi="Calibri"/>
          <w:i/>
          <w:iCs/>
          <w:color w:val="3C475A"/>
          <w:sz w:val="19"/>
          <w:szCs w:val="19"/>
        </w:rPr>
        <w:t xml:space="preserve">Au décès d'un associé, c'est ce registre que réclameront le notaire et les héritiers. Une société dont les décisions n'ont jamais été formalisées peut voir sa liquidation bloquée pendant des mois.</w:t>
      </w:r>
    </w:p>
    <w:p>
      <w:pPr>
        <w:pBdr>
          <w:top w:val="single" w:color="CCCCCC" w:sz="6" w:space="8"/>
        </w:pBdr>
        <w:spacing w:before="400"/>
      </w:pPr>
      <w:r>
        <w:rPr>
          <w:rFonts w:ascii="Calibri" w:cs="Calibri" w:eastAsia="Calibri" w:hAnsi="Calibri"/>
          <w:color w:val="888888"/>
          <w:sz w:val="16"/>
          <w:szCs w:val="16"/>
        </w:rPr>
        <w:t xml:space="preserve">Modèle proposé gratuitement par Quote-Part (quote-part.eu), logiciel de gestion des SCI familiales. À adapter à vos statuts. Ce document est un modèle général et ne constitue pas un conseil juridique.</w:t>
      </w:r>
    </w:p>
    <w:sectPr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2026-09-18T13:34:19.781Z</dcterms:created>
  <dcterms:modified xsi:type="dcterms:W3CDTF">2026-09-18T13:34:19.781Z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